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0AE8" w:rsidRDefault="00D40AE8" w:rsidP="00851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Пояснительная записка к финансовой отчетности</w:t>
      </w:r>
    </w:p>
    <w:p w:rsidR="00D40AE8" w:rsidRDefault="00D40AE8" w:rsidP="00851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40AE8">
        <w:rPr>
          <w:rFonts w:ascii="Times New Roman" w:hAnsi="Times New Roman" w:cs="Times New Roman"/>
          <w:b/>
          <w:bCs/>
          <w:sz w:val="27"/>
          <w:szCs w:val="27"/>
        </w:rPr>
        <w:t xml:space="preserve">ТОО «Ломбард Алмаз-999» </w:t>
      </w:r>
      <w:r w:rsidR="00FD416F">
        <w:rPr>
          <w:rFonts w:ascii="Times New Roman" w:hAnsi="Times New Roman" w:cs="Times New Roman"/>
          <w:b/>
          <w:bCs/>
          <w:sz w:val="27"/>
          <w:szCs w:val="27"/>
        </w:rPr>
        <w:t xml:space="preserve"> за 202</w:t>
      </w:r>
      <w:r w:rsidR="007225AD">
        <w:rPr>
          <w:rFonts w:ascii="Times New Roman" w:hAnsi="Times New Roman" w:cs="Times New Roman"/>
          <w:b/>
          <w:bCs/>
          <w:sz w:val="27"/>
          <w:szCs w:val="27"/>
          <w:lang w:val="kk-KZ"/>
        </w:rPr>
        <w:t>2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D40AE8" w:rsidRDefault="00D40AE8" w:rsidP="00851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Примечания к финансовой отчетности</w:t>
      </w:r>
    </w:p>
    <w:p w:rsidR="000C0262" w:rsidRDefault="00D40AE8" w:rsidP="00851558">
      <w:pPr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1.Организация бизнеса</w:t>
      </w:r>
    </w:p>
    <w:p w:rsidR="00D40AE8" w:rsidRDefault="00D40AE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Основная деятельность ломбарда</w:t>
      </w:r>
    </w:p>
    <w:p w:rsidR="00D40AE8" w:rsidRDefault="00D40AE8" w:rsidP="005F3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307">
        <w:rPr>
          <w:rFonts w:ascii="Times New Roman" w:hAnsi="Times New Roman" w:cs="Times New Roman"/>
          <w:sz w:val="24"/>
          <w:szCs w:val="24"/>
        </w:rPr>
        <w:t xml:space="preserve">Товарищество с ограниченной ответственностью </w:t>
      </w:r>
      <w:r w:rsidRPr="005F3307">
        <w:rPr>
          <w:rFonts w:ascii="Times New Roman" w:hAnsi="Times New Roman" w:cs="Times New Roman"/>
          <w:bCs/>
          <w:sz w:val="24"/>
          <w:szCs w:val="24"/>
        </w:rPr>
        <w:t xml:space="preserve">«Ломбард Алмаз-999»  </w:t>
      </w:r>
      <w:r w:rsidRPr="005F3307">
        <w:rPr>
          <w:rFonts w:ascii="Times New Roman" w:hAnsi="Times New Roman" w:cs="Times New Roman"/>
          <w:sz w:val="24"/>
          <w:szCs w:val="24"/>
        </w:rPr>
        <w:t xml:space="preserve"> образовано </w:t>
      </w:r>
      <w:r w:rsidR="004A370C" w:rsidRPr="005F3307">
        <w:rPr>
          <w:rFonts w:ascii="Times New Roman" w:hAnsi="Times New Roman" w:cs="Times New Roman"/>
          <w:sz w:val="24"/>
          <w:szCs w:val="24"/>
        </w:rPr>
        <w:t>12</w:t>
      </w:r>
      <w:r w:rsidRPr="005F3307">
        <w:rPr>
          <w:rFonts w:ascii="Times New Roman" w:hAnsi="Times New Roman" w:cs="Times New Roman"/>
          <w:sz w:val="24"/>
          <w:szCs w:val="24"/>
        </w:rPr>
        <w:t xml:space="preserve"> февраля 2015 года и зарегистрировано Министерством Юстиции РК </w:t>
      </w:r>
      <w:r w:rsidR="004A370C" w:rsidRPr="005F3307">
        <w:rPr>
          <w:rFonts w:ascii="Times New Roman" w:hAnsi="Times New Roman" w:cs="Times New Roman"/>
          <w:sz w:val="24"/>
          <w:szCs w:val="24"/>
        </w:rPr>
        <w:t>12</w:t>
      </w:r>
      <w:r w:rsidRPr="005F3307">
        <w:rPr>
          <w:rFonts w:ascii="Times New Roman" w:hAnsi="Times New Roman" w:cs="Times New Roman"/>
          <w:sz w:val="24"/>
          <w:szCs w:val="24"/>
        </w:rPr>
        <w:t xml:space="preserve"> февраля 2015 года. В связи с увеличением размера уставного капитала произведена перерегистрация в Филиале НАО</w:t>
      </w:r>
      <w:r w:rsidR="005F3307">
        <w:rPr>
          <w:rFonts w:ascii="Times New Roman" w:hAnsi="Times New Roman" w:cs="Times New Roman"/>
          <w:sz w:val="24"/>
          <w:szCs w:val="24"/>
        </w:rPr>
        <w:t xml:space="preserve"> </w:t>
      </w:r>
      <w:r w:rsidRPr="005F3307">
        <w:rPr>
          <w:rFonts w:ascii="Times New Roman" w:hAnsi="Times New Roman" w:cs="Times New Roman"/>
          <w:sz w:val="24"/>
          <w:szCs w:val="24"/>
        </w:rPr>
        <w:t>«Государственная Корпорация «Правительство для граждан» по городу Шымкент (Справка о</w:t>
      </w:r>
      <w:r w:rsidR="005F3307">
        <w:rPr>
          <w:rFonts w:ascii="Times New Roman" w:hAnsi="Times New Roman" w:cs="Times New Roman"/>
          <w:sz w:val="24"/>
          <w:szCs w:val="24"/>
        </w:rPr>
        <w:t xml:space="preserve"> </w:t>
      </w:r>
      <w:r w:rsidRPr="005F3307">
        <w:rPr>
          <w:rFonts w:ascii="Times New Roman" w:hAnsi="Times New Roman" w:cs="Times New Roman"/>
          <w:sz w:val="24"/>
          <w:szCs w:val="24"/>
        </w:rPr>
        <w:t>внесении записи в базу данных «Юридические лица» с уставным капиталом</w:t>
      </w:r>
      <w:r w:rsidR="004A370C" w:rsidRPr="005F3307">
        <w:rPr>
          <w:rFonts w:ascii="Times New Roman" w:hAnsi="Times New Roman" w:cs="Times New Roman"/>
          <w:sz w:val="24"/>
          <w:szCs w:val="24"/>
        </w:rPr>
        <w:t xml:space="preserve"> </w:t>
      </w:r>
      <w:r w:rsidR="00FD416F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5F3307">
        <w:rPr>
          <w:rFonts w:ascii="Times New Roman" w:hAnsi="Times New Roman" w:cs="Times New Roman"/>
          <w:sz w:val="24"/>
          <w:szCs w:val="24"/>
        </w:rPr>
        <w:t>0 000 000 тенге</w:t>
      </w:r>
      <w:r w:rsidR="005F3307">
        <w:rPr>
          <w:rFonts w:ascii="Times New Roman" w:hAnsi="Times New Roman" w:cs="Times New Roman"/>
          <w:sz w:val="24"/>
          <w:szCs w:val="24"/>
        </w:rPr>
        <w:t xml:space="preserve"> </w:t>
      </w:r>
      <w:r w:rsidR="005F3307" w:rsidRPr="005F33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="00FD416F">
        <w:rPr>
          <w:rFonts w:ascii="Times New Roman" w:eastAsia="Times New Roman" w:hAnsi="Times New Roman" w:cs="Times New Roman"/>
          <w:sz w:val="24"/>
          <w:szCs w:val="24"/>
          <w:lang w:val="kk-KZ"/>
        </w:rPr>
        <w:t>07.04.2020</w:t>
      </w:r>
      <w:r w:rsidR="005F3307" w:rsidRPr="005F33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года  №0</w:t>
      </w:r>
      <w:r w:rsidR="00FD416F">
        <w:rPr>
          <w:rFonts w:ascii="Times New Roman" w:eastAsia="Times New Roman" w:hAnsi="Times New Roman" w:cs="Times New Roman"/>
          <w:sz w:val="24"/>
          <w:szCs w:val="24"/>
        </w:rPr>
        <w:t>3</w:t>
      </w:r>
      <w:r w:rsidR="005F3307" w:rsidRPr="005F3307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="00FD416F">
        <w:rPr>
          <w:rFonts w:ascii="Times New Roman" w:eastAsia="Times New Roman" w:hAnsi="Times New Roman" w:cs="Times New Roman"/>
          <w:sz w:val="24"/>
          <w:szCs w:val="24"/>
        </w:rPr>
        <w:t>18-22</w:t>
      </w:r>
      <w:r w:rsidR="00FD416F">
        <w:rPr>
          <w:rFonts w:ascii="Times New Roman" w:eastAsia="Times New Roman" w:hAnsi="Times New Roman" w:cs="Times New Roman"/>
          <w:sz w:val="24"/>
          <w:szCs w:val="24"/>
          <w:lang w:val="kk-KZ"/>
        </w:rPr>
        <w:t>-07/3536</w:t>
      </w:r>
      <w:r w:rsidRPr="005F3307">
        <w:rPr>
          <w:rFonts w:ascii="Times New Roman" w:hAnsi="Times New Roman" w:cs="Times New Roman"/>
          <w:sz w:val="24"/>
          <w:szCs w:val="24"/>
        </w:rPr>
        <w:t>).</w:t>
      </w:r>
    </w:p>
    <w:p w:rsidR="005F3307" w:rsidRPr="00A160CC" w:rsidRDefault="005F3307" w:rsidP="00A160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60CC">
        <w:rPr>
          <w:rFonts w:ascii="Times New Roman" w:hAnsi="Times New Roman" w:cs="Times New Roman"/>
          <w:sz w:val="24"/>
          <w:szCs w:val="24"/>
        </w:rPr>
        <w:t>Согласно Уставу ТОО «Ломбард Алмаз-999», объявленный Уставный капитал Ломбарда</w:t>
      </w:r>
      <w:r w:rsidR="00A160CC" w:rsidRPr="00A160CC">
        <w:rPr>
          <w:rFonts w:ascii="Times New Roman" w:hAnsi="Times New Roman" w:cs="Times New Roman"/>
          <w:sz w:val="24"/>
          <w:szCs w:val="24"/>
        </w:rPr>
        <w:t xml:space="preserve"> </w:t>
      </w:r>
      <w:r w:rsidR="00FD416F">
        <w:rPr>
          <w:rFonts w:ascii="Times New Roman" w:hAnsi="Times New Roman" w:cs="Times New Roman"/>
          <w:sz w:val="24"/>
          <w:szCs w:val="24"/>
        </w:rPr>
        <w:t>определен в размере 3</w:t>
      </w:r>
      <w:r w:rsidRPr="00A160CC">
        <w:rPr>
          <w:rFonts w:ascii="Times New Roman" w:hAnsi="Times New Roman" w:cs="Times New Roman"/>
          <w:sz w:val="24"/>
          <w:szCs w:val="24"/>
        </w:rPr>
        <w:t xml:space="preserve">0 000 000 тенге, что </w:t>
      </w:r>
      <w:r w:rsidR="00A160CC">
        <w:rPr>
          <w:rFonts w:ascii="Times New Roman" w:hAnsi="Times New Roman" w:cs="Times New Roman"/>
          <w:sz w:val="24"/>
          <w:szCs w:val="24"/>
        </w:rPr>
        <w:t xml:space="preserve">соответствует требованиям </w:t>
      </w:r>
      <w:r w:rsidRPr="00A160CC">
        <w:rPr>
          <w:rFonts w:ascii="Times New Roman" w:hAnsi="Times New Roman" w:cs="Times New Roman"/>
          <w:sz w:val="24"/>
          <w:szCs w:val="24"/>
        </w:rPr>
        <w:t>Национального банка РК о</w:t>
      </w:r>
      <w:r w:rsidR="00A160CC" w:rsidRPr="00A160CC">
        <w:rPr>
          <w:rFonts w:ascii="Times New Roman" w:hAnsi="Times New Roman" w:cs="Times New Roman"/>
          <w:sz w:val="24"/>
          <w:szCs w:val="24"/>
        </w:rPr>
        <w:t xml:space="preserve"> </w:t>
      </w:r>
      <w:r w:rsidRPr="00A160CC">
        <w:rPr>
          <w:rFonts w:ascii="Times New Roman" w:hAnsi="Times New Roman" w:cs="Times New Roman"/>
          <w:sz w:val="24"/>
          <w:szCs w:val="24"/>
        </w:rPr>
        <w:t>размере уставного капитала, определенного для ломбардов.</w:t>
      </w:r>
    </w:p>
    <w:p w:rsidR="00CF065B" w:rsidRPr="00A160CC" w:rsidRDefault="00CF065B" w:rsidP="00CF0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0CC">
        <w:rPr>
          <w:rFonts w:ascii="Times New Roman" w:hAnsi="Times New Roman" w:cs="Times New Roman"/>
          <w:sz w:val="24"/>
          <w:szCs w:val="24"/>
        </w:rPr>
        <w:tab/>
        <w:t>Учредителями Ломбарда является единственное физическое лицо - БЕКЖАНОВА САУЛЕ АБДЫМАЛИКОВНА.</w:t>
      </w:r>
      <w:r w:rsidR="00FD41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160CC">
        <w:rPr>
          <w:rFonts w:ascii="Times New Roman" w:hAnsi="Times New Roman" w:cs="Times New Roman"/>
          <w:sz w:val="24"/>
          <w:szCs w:val="24"/>
        </w:rPr>
        <w:t>Высшим органом управления ломбарда является общее собрание участника ломбарда.</w:t>
      </w:r>
    </w:p>
    <w:p w:rsidR="00CF065B" w:rsidRDefault="00CF065B" w:rsidP="00A160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F065B">
        <w:rPr>
          <w:rFonts w:ascii="Times New Roman" w:hAnsi="Times New Roman" w:cs="Times New Roman"/>
          <w:sz w:val="24"/>
          <w:szCs w:val="24"/>
        </w:rPr>
        <w:t xml:space="preserve">Ломбард зарегистрирован по следующему .адресу: РК, г.Шымкент, </w:t>
      </w:r>
      <w:r w:rsidRPr="00A160CC">
        <w:rPr>
          <w:rFonts w:ascii="Times New Roman" w:hAnsi="Times New Roman" w:cs="Times New Roman"/>
          <w:sz w:val="24"/>
          <w:szCs w:val="24"/>
        </w:rPr>
        <w:t>Микрорайон 16 д. 24 кв. (офис) 36</w:t>
      </w:r>
      <w:r w:rsidRPr="00CF065B">
        <w:rPr>
          <w:rFonts w:ascii="Times New Roman" w:hAnsi="Times New Roman" w:cs="Times New Roman"/>
          <w:sz w:val="24"/>
          <w:szCs w:val="24"/>
        </w:rPr>
        <w:t xml:space="preserve">. Средняя численность персонала в течение года составила </w:t>
      </w:r>
      <w:r w:rsidR="007225A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CF065B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FB0AEF" w:rsidRDefault="00FB0AEF" w:rsidP="00CF06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65B" w:rsidRDefault="00FB0AEF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Экономические условия в Казахстане и риски, присущие Казахстану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данном этапе финансовый сектор Казахстана находится на качественно новом уровне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своего развития, и большинство реформ, направленных на создание основы для его успешного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функционирования, уже осуществлены. Дальнейшее развитие финансового сектора характеризуется приведением всех его сегментов к международным стандартам в условиях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предстоящей либерализации валютных отношений и возможного внедрения единого валютного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пространства с отдельными странами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настоящее время идет процесс формирования устойчивой и эффективно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функционирующей финансовой системы, удовлетворяющей потребностям реального сектора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экономики в финансовых ресурсах и предоставляющей качественные услуги финансовыми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институтами в условиях свободной конкуренции.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Закона Республики Казахстан «О банках и банковской деятельности»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способствует более активному развитию такого вида финансовых институтов, как ломбарды.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Ломбарды, наряд с кредитными товариществами, ипотечными компаниями и другими -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организациями, осуществляющими отдельные виды банковских операций, становятся основой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второго уровня системы кредитования. При этом их заемщиками выступают физические лица,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которые составляют основную часть клиентуры. Перспективы экономической стабильности в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Республике Казахстан во многом зависят от эффективности экономических мер,</w:t>
      </w:r>
      <w:r w:rsidRPr="00FB0A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предпринимаемых Правительством, а также развития правовой и политической систем, которые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неподконтрольны Ломбарду.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Прилагаемая финансовая отчетность отражает оценку руководством влияния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экономических условий в Казахстан на деятельность и финансовое положение ломбарда.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Будущие экономические условия могут отличаться от оценки руководства.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B0AEF" w:rsidRDefault="00FB0AEF" w:rsidP="00950E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2. Основы предоставления финансовой отчетности</w:t>
      </w:r>
      <w:r w:rsidR="00950E8D">
        <w:rPr>
          <w:rFonts w:ascii="Times New Roman" w:hAnsi="Times New Roman" w:cs="Times New Roman"/>
          <w:b/>
          <w:bCs/>
          <w:sz w:val="27"/>
          <w:szCs w:val="27"/>
          <w:lang w:val="kk-KZ"/>
        </w:rPr>
        <w:t xml:space="preserve">. </w:t>
      </w:r>
      <w:r>
        <w:rPr>
          <w:rFonts w:ascii="Times New Roman" w:hAnsi="Times New Roman" w:cs="Times New Roman"/>
          <w:b/>
          <w:bCs/>
          <w:sz w:val="27"/>
          <w:szCs w:val="27"/>
        </w:rPr>
        <w:t>Основы оценки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</w:rPr>
        <w:t>Подготовка финансовой отчетности требует применения оценок и допущений, которые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влияют на оценку сумм отражаемых активов и обязательств, раскрытие условных активов и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обязательств на дату составления финансовой отчетности, а также сумм доходов и расходов в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течение отчетного периода. Несмотря на то, что эти оценки основаны на понимании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руководством текущих событий и операций, фактические результаты могут отличаться от этих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оценок.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Финансовая отчетность подготовлена на основе того, что финансовые активы и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обязательства, а также нефинансовые активы и обязательства отражаются на амортизируемой</w:t>
      </w:r>
    </w:p>
    <w:p w:rsidR="00FB0AEF" w:rsidRDefault="00FB0AEF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или первоначальной стоимости.</w:t>
      </w:r>
    </w:p>
    <w:p w:rsidR="00851558" w:rsidRDefault="00851558" w:rsidP="00FB0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>Валюта измерения и представления отчетности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</w:rPr>
        <w:t>Данная финансовая отчетность представлена в национальной валюте Республики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Казахстан, т.е. в казахстанских тенге.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Финансовая информация, представленная в тенге, округлена до тысяч.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>Принцип непрерывности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Прилагаемая финансовая отчетность Ломбарда была составлена на основе принципа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непрерывности, что подразумевает реализацию активов и погашение обязательств в ходе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нормальной деятельности. Способность Ломбарда реализовать свои активы, а также его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деятельности в будущем могут быть подвержены значительному влиянию текущих и будущих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экономических условий в Казахстане (см. Примечание 1). Прилагаемая финансовая отчетность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содержит корректировок, необходимых в случае, если бы ломбард не мог продолжать свою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деятельность на основе принципа непрерывности.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>3. Основные принципы учетной политики.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Деньги и их эквиваленты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Денежные средства и их эквиваленты представляют собой активы, которые могут быть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конвертированы в денежные средства в течение одного дня. Суммы, в отношении которых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имеются какие-либо ограничения на их использование, исключаются из состава денежных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 и их эквивалентов. В качестве денег и их эквивалентов Ломбард рассматривает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денежные остатки, остатки на текущих счетах в банках.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Взаимозачет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тех случаях, когда существует законодательно установленное право произвести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взаимозачет отраженных сумм, а также намерение либо произвести взаимозачет, либо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одновременно реализовать актив и урегулировать обязательство, финансовые активы и</w:t>
      </w:r>
    </w:p>
    <w:p w:rsidR="00851558" w:rsidRDefault="00FD416F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обязательства взаимо</w:t>
      </w:r>
      <w:r w:rsidR="00851558">
        <w:rPr>
          <w:rFonts w:ascii="Times New Roman" w:hAnsi="Times New Roman" w:cs="Times New Roman"/>
        </w:rPr>
        <w:t>зачитываются, и в бухгалтерском балансе отражается сальдированная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величина.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Процентные займы.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Заемные средства первоначально учитываются по стоимости приобретения, которое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представляет собой сумму полученных средств (справедливая стоимость полученных денежных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средств) за вычетом понесенных затрат по сделке. Впоследствии заемные средства отражаются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амортизационной стоимости, а разница между суммой полученных средств и стоимостью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погашения отражается в отчете прибылях и убытках в течение периода заимствования с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использованием метода эффективной доходности.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Заемные средства, имеющие процентные ставки, отличные от рыночных процентных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ставок привлечение, оцениваются в момент предоставления по справедливой стоимостью,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которая выключает в себе будущие процентные платежи и сумму основного долга,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дисконтированные с учетом рыночных процентных ставок для аналогичных заимствовании на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рынке. Разница между справедливой стоимостью номинальной стоимостью заемных средств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отражается в отчете о прибылях и убытках как доход от привлеченных заемных средств по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ставкам ниже рыночных, или как убыток.от привлечения заемных средств по ставкам выше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рыночных. Впоследствии балансовое стоимость заемных средств корректируется с учетом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амортизации дохода (убытка) -но заемным средствам, и соответствующие расходы (доходы)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отражаются как процентные расходы/уменьшение процентных расходов в отчете о прибылях и</w:t>
      </w:r>
    </w:p>
    <w:p w:rsidR="00851558" w:rsidRDefault="00851558" w:rsidP="00FD4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убытках с использованием метода эффективной доходности.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Резервы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Резервы отражаются в финансовой отчетности при возникновении у Ломбарда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обязательств (правовых или вытекающих из сложившейся деловой практики), возникших до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отчетной даты. При этом существует высокая вероятность того, что для исполнения этих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обязательств Ломбарду потребуется отток экономических ресурсов, и сумма обязательств может</w:t>
      </w:r>
    </w:p>
    <w:p w:rsidR="00851558" w:rsidRDefault="00851558" w:rsidP="00FD4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быть оценена с достаточной степенью определенности.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Доходы в виде вознаграждения (интереса)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Процентные доходы и расходы отражаются в отчете о прибылях и убытках по методу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наращивание с использованием метода эффективной доходности, основанного на фактической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цене приобретения актива/выпуска обязательств. В случае если возникает сомнение в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своевременном погашении выданных кредитов, они списываются до возмещаемой стоимости с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последующим отражением процентных доходов на основе процентной ставки, которое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использовалась для дисконтирования будущих денежных потоков с целью определения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возмещаемой суммой.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Комиссионные доходы и прочие доходы, и расходы отражаются по методу наращивания в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течения периода предоставления услуги. Комиссионные доходы за предоставление кредитов, в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отношение которых существует вероятность использования учитываются как доходы будущих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периодов (вместе с соответствующими прямыми затратами) и отражаются как корректировках к</w:t>
      </w:r>
    </w:p>
    <w:p w:rsidR="00851558" w:rsidRDefault="00851558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эффективной доходности по кредиту.</w:t>
      </w:r>
    </w:p>
    <w:p w:rsidR="00851558" w:rsidRDefault="00950E8D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4. </w:t>
      </w:r>
      <w:r w:rsidR="00851558">
        <w:rPr>
          <w:rFonts w:ascii="Times New Roman" w:hAnsi="Times New Roman" w:cs="Times New Roman"/>
          <w:b/>
          <w:bCs/>
          <w:sz w:val="27"/>
          <w:szCs w:val="27"/>
        </w:rPr>
        <w:t>Отчисления в фонды</w:t>
      </w:r>
    </w:p>
    <w:p w:rsidR="004D3B45" w:rsidRDefault="004D3B45" w:rsidP="00851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Пенсионные выплаты</w:t>
      </w:r>
    </w:p>
    <w:p w:rsidR="004D3B45" w:rsidRDefault="004D3B45" w:rsidP="004D3B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Ломбард производит отчисления в пенсионный фонд от имени своих работников,</w:t>
      </w:r>
    </w:p>
    <w:p w:rsidR="004D3B45" w:rsidRDefault="004D3B45" w:rsidP="004D3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утвержденным требованием по пенсионному обеспечению в РК. Удержанные выплаты</w:t>
      </w:r>
    </w:p>
    <w:p w:rsidR="004D3B45" w:rsidRDefault="004D3B45" w:rsidP="004D3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пенсионный фонд производятся от выплаты труда работников и отражается в отчете о</w:t>
      </w:r>
    </w:p>
    <w:p w:rsidR="004D3B45" w:rsidRDefault="004D3B45" w:rsidP="004D3B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прибылях и убытках как расходы по заработной плате.</w:t>
      </w:r>
    </w:p>
    <w:p w:rsidR="00A80773" w:rsidRDefault="00A80773" w:rsidP="00A807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67C50" w:rsidRDefault="00A160CC" w:rsidP="00A807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950E8D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667C50">
        <w:rPr>
          <w:rFonts w:ascii="Times New Roman" w:hAnsi="Times New Roman" w:cs="Times New Roman"/>
          <w:b/>
          <w:bCs/>
          <w:sz w:val="27"/>
          <w:szCs w:val="27"/>
        </w:rPr>
        <w:t>Управление финансовыми рисками</w:t>
      </w:r>
    </w:p>
    <w:p w:rsidR="00667C50" w:rsidRDefault="00667C50" w:rsidP="00A807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Функция управления рисками Ломбарда осуществляется в отношении финансовых рисков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(кредитный, рыночный, риск ликвидности и риск процентной ставки), операционного и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юридического рисков. Главной задачей функции управления финансовыми рисками является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лимитов риска и дальнейшее обеспечение соблюдения установленных лимитов.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операционным и юридическим рисками должно обеспечивать надежное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функционирование внутренней политики и процедур Ломбарда в целях минимизации данных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рисков.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>Кредитный риск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</w:rPr>
        <w:t>Ломбард принимает на себя кредитный риск, а именно риск того, что контрагент не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сможет полностью погасить задолженность перед Ломбардом в установленный срок. Ломбард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контролирует кредитный риск, путем предоставления краткосрочных кредитов под залог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депонируемых легко реализуемых ценных бумаг и движимого имущества граждан, согласно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Постановлению Правления Агентства РК по регулированию и надзору финансового рынка и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финансовых организации "Об утверждении правил открытия, лицензирования, регулирования и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прекращения деятельности ломбардов" от 16.02.2004 года. Управление кредитным риском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осуществляется посредством регулярного анализа способности существующих и потенциальных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заемщиков погасить процентные платежи и основную сумму задолженности</w:t>
      </w:r>
    </w:p>
    <w:p w:rsidR="00667C50" w:rsidRDefault="00667C50" w:rsidP="00667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Рыночный риск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Ломбард принимает на себя рыночный риск связанный с открытыми позициями по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процентным и долевым инструментам' которые подвержены риску общих и специфических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 на рынке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Риск ликвидности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Риск ликвидности возникает при несовпадении сроков размещения по активным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операциям со сроками погашения по пассивным операциям. Ломбард подвержен риску в связи с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ежедневной необходимостью использования имеющихся денежных средств при наступлении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срока погашения депозитов, кредитов, гарантии и других требовании по производным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финансовым инструментам, расчеты по которым производятся денежными средствами. Ломбард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аккумулирует денежные средства на случае единовременного выполнения обязательств по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вышеуказанным требованиям так как, исходе из имеющегося опыта работы, можно с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достаточно долей точности прогнозировать минимальный уровень денежных средств,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необходимый для выполнения обязательств ломбарда.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Риск процентной ставки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Ломбард подвержен риску, связанному с влиянием колебаний рыночных процентных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ставок на его финансовое положение и потоки денежных средств. Ломбард подвержен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незначительному процентному риску, так как процентные ставки устанавливаются из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зависимости от срока предоставления кредита (на две недели или на месяц) и сумма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начисленного процента оплачивается клиенту при получении кредита. В 202</w:t>
      </w:r>
      <w:r w:rsidR="007225AD">
        <w:rPr>
          <w:rFonts w:ascii="Times New Roman" w:hAnsi="Times New Roman" w:cs="Times New Roman"/>
          <w:lang w:val="kk-KZ"/>
        </w:rPr>
        <w:t>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году процентные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ставки составили 6 % за месяц и 3% за пол месяца.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5B5E6A" w:rsidRDefault="00950E8D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6</w:t>
      </w:r>
      <w:r>
        <w:rPr>
          <w:rFonts w:ascii="Times New Roman" w:hAnsi="Times New Roman" w:cs="Times New Roman"/>
          <w:b/>
          <w:bCs/>
          <w:sz w:val="27"/>
          <w:szCs w:val="27"/>
          <w:lang w:val="kk-KZ"/>
        </w:rPr>
        <w:t>.</w:t>
      </w:r>
      <w:r w:rsidR="005B5E6A">
        <w:rPr>
          <w:rFonts w:ascii="Times New Roman" w:hAnsi="Times New Roman" w:cs="Times New Roman"/>
          <w:b/>
          <w:bCs/>
          <w:sz w:val="27"/>
          <w:szCs w:val="27"/>
        </w:rPr>
        <w:t xml:space="preserve"> Условные обязательства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Судебные разбирательства</w:t>
      </w:r>
    </w:p>
    <w:p w:rsidR="005B5E6A" w:rsidRDefault="00FD416F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31.12.202</w:t>
      </w:r>
      <w:r w:rsidR="007225AD">
        <w:rPr>
          <w:rFonts w:ascii="Times New Roman" w:hAnsi="Times New Roman" w:cs="Times New Roman"/>
          <w:lang w:val="kk-KZ"/>
        </w:rPr>
        <w:t>2</w:t>
      </w:r>
      <w:r w:rsidR="005B5E6A">
        <w:rPr>
          <w:rFonts w:ascii="Times New Roman" w:hAnsi="Times New Roman" w:cs="Times New Roman"/>
        </w:rPr>
        <w:t xml:space="preserve"> года ломбард не участвует в судебных разбирательствах.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Налоговые законодательства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</w:rPr>
        <w:t>Ввиду наличия в Казахстанском законодательстве в сфере хозяйственной деятельности и,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частности, в налоговом законодательстве, норм, допускающих неоднозначное толкование, а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учитывая сложившуюся в условиях общей нестабильности практику не предсказуемой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оценки налоговыми органами фактов хозяйственной деятельности, в том числе не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предсказуемого отнесения действии предприятий к тем или иным их видам при отсутствии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нормативных критериев для этого, оценка руководство фактов хозяйственной деятельности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Ломбарда может не совпадать интерпретацией этих фактов налоговыми органами. Если какая-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либо операция будет оспорена налоговыми органами, Ломбарду могут быть доначислены суммы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налогов, а также возможны значительные штрафы и пени. Период, в течения которого налоговые</w:t>
      </w:r>
    </w:p>
    <w:p w:rsidR="005B5E6A" w:rsidRDefault="005B5E6A" w:rsidP="00950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органы могут ос</w:t>
      </w:r>
      <w:r w:rsidR="00950E8D">
        <w:rPr>
          <w:rFonts w:ascii="Times New Roman" w:hAnsi="Times New Roman" w:cs="Times New Roman"/>
        </w:rPr>
        <w:t>уществить проверку, составляет 3</w:t>
      </w:r>
      <w:r>
        <w:rPr>
          <w:rFonts w:ascii="Times New Roman" w:hAnsi="Times New Roman" w:cs="Times New Roman"/>
        </w:rPr>
        <w:t xml:space="preserve"> лет.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Существующее налоговое законодательство в основном рассматривает налоговые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последствия операции исходе из их юридической формы и порядка отражения в учете, согласно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требований действующего законодательство РК. Соответственно, имеется возможность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структурировать операции таким образом, чтобы использовать возможности, предоставленные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налоговым законодательством, с целью уменьшения общей эффективной налоговой ставки.</w:t>
      </w:r>
    </w:p>
    <w:p w:rsidR="005B5E6A" w:rsidRDefault="005B5E6A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5B5E6A" w:rsidRPr="00CD7832" w:rsidRDefault="00CD7832" w:rsidP="005B5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</w:t>
      </w:r>
      <w:r w:rsidR="005B5E6A" w:rsidRPr="00CD7832">
        <w:rPr>
          <w:rFonts w:ascii="Times New Roman" w:hAnsi="Times New Roman" w:cs="Times New Roman"/>
          <w:b/>
        </w:rPr>
        <w:t xml:space="preserve">Директор                </w:t>
      </w:r>
      <w:r w:rsidRPr="00CD7832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                        </w:t>
      </w:r>
      <w:r w:rsidRPr="00CD7832">
        <w:rPr>
          <w:rFonts w:ascii="Times New Roman" w:hAnsi="Times New Roman" w:cs="Times New Roman"/>
          <w:b/>
        </w:rPr>
        <w:t xml:space="preserve"> Бекжанова С.А.</w:t>
      </w:r>
      <w:r w:rsidR="005B5E6A" w:rsidRPr="00CD7832">
        <w:rPr>
          <w:rFonts w:ascii="Times New Roman" w:hAnsi="Times New Roman" w:cs="Times New Roman"/>
          <w:b/>
        </w:rPr>
        <w:t xml:space="preserve">    </w:t>
      </w:r>
    </w:p>
    <w:sectPr w:rsidR="005B5E6A" w:rsidRPr="00CD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B5"/>
    <w:rsid w:val="000C0262"/>
    <w:rsid w:val="001E446F"/>
    <w:rsid w:val="00241C65"/>
    <w:rsid w:val="00286CB1"/>
    <w:rsid w:val="004A370C"/>
    <w:rsid w:val="004D3B45"/>
    <w:rsid w:val="004D411F"/>
    <w:rsid w:val="005B5E6A"/>
    <w:rsid w:val="005F3307"/>
    <w:rsid w:val="006658EE"/>
    <w:rsid w:val="00667C50"/>
    <w:rsid w:val="007225AD"/>
    <w:rsid w:val="0079138E"/>
    <w:rsid w:val="0083356B"/>
    <w:rsid w:val="00847229"/>
    <w:rsid w:val="00851558"/>
    <w:rsid w:val="008643F5"/>
    <w:rsid w:val="00950E8D"/>
    <w:rsid w:val="00A160CC"/>
    <w:rsid w:val="00A474B5"/>
    <w:rsid w:val="00A76CB8"/>
    <w:rsid w:val="00A80773"/>
    <w:rsid w:val="00CD7832"/>
    <w:rsid w:val="00CF065B"/>
    <w:rsid w:val="00D40AE8"/>
    <w:rsid w:val="00E27F28"/>
    <w:rsid w:val="00E513F0"/>
    <w:rsid w:val="00FB0AEF"/>
    <w:rsid w:val="00FD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F85F"/>
  <w15:chartTrackingRefBased/>
  <w15:docId w15:val="{AAC7BAEF-6CCE-4406-97A6-15AE55C5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18</cp:revision>
  <dcterms:created xsi:type="dcterms:W3CDTF">2022-06-17T06:51:00Z</dcterms:created>
  <dcterms:modified xsi:type="dcterms:W3CDTF">2023-07-24T04:39:00Z</dcterms:modified>
</cp:coreProperties>
</file>